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6E3D9">
      <w:pPr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 w14:paraId="18E5575B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年下半年档案馆对接立卷单位一览表</w:t>
      </w:r>
    </w:p>
    <w:tbl>
      <w:tblPr>
        <w:tblStyle w:val="8"/>
        <w:tblpPr w:leftFromText="180" w:rightFromText="180" w:vertAnchor="text" w:horzAnchor="page" w:tblpXSpec="center" w:tblpY="332"/>
        <w:tblOverlap w:val="never"/>
        <w:tblW w:w="10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848"/>
        <w:gridCol w:w="7803"/>
      </w:tblGrid>
      <w:tr w14:paraId="541F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3" w:hRule="exact"/>
          <w:jc w:val="center"/>
        </w:trPr>
        <w:tc>
          <w:tcPr>
            <w:tcW w:w="1209" w:type="dxa"/>
            <w:vAlign w:val="center"/>
          </w:tcPr>
          <w:p w14:paraId="12C2B0C7">
            <w:pPr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档案馆</w:t>
            </w:r>
          </w:p>
          <w:p w14:paraId="294697AE">
            <w:pPr>
              <w:jc w:val="center"/>
              <w:rPr>
                <w:rFonts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 w:val="0"/>
                <w:sz w:val="24"/>
                <w:szCs w:val="24"/>
              </w:rPr>
              <w:t>对接老师</w:t>
            </w:r>
          </w:p>
        </w:tc>
        <w:tc>
          <w:tcPr>
            <w:tcW w:w="1848" w:type="dxa"/>
            <w:vAlign w:val="center"/>
          </w:tcPr>
          <w:p w14:paraId="6EFF5921">
            <w:pPr>
              <w:jc w:val="center"/>
              <w:rPr>
                <w:rFonts w:ascii="宋体" w:hAnsi="宋体" w:eastAsia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</w:rPr>
              <w:t>立卷单位</w:t>
            </w:r>
          </w:p>
        </w:tc>
        <w:tc>
          <w:tcPr>
            <w:tcW w:w="7803" w:type="dxa"/>
            <w:vAlign w:val="center"/>
          </w:tcPr>
          <w:p w14:paraId="2733D100">
            <w:pPr>
              <w:jc w:val="center"/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  <w:t>二级学院及所支撑的科研平台</w:t>
            </w:r>
          </w:p>
          <w:p w14:paraId="4BF52986">
            <w:pPr>
              <w:jc w:val="center"/>
              <w:rPr>
                <w:rFonts w:hint="default" w:ascii="宋体" w:hAnsi="宋体" w:eastAsia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i/>
                <w:iCs/>
                <w:sz w:val="24"/>
                <w:szCs w:val="24"/>
                <w:lang w:val="en-US" w:eastAsia="zh-CN"/>
              </w:rPr>
              <w:t>(字体倾斜为校级)</w:t>
            </w:r>
          </w:p>
        </w:tc>
      </w:tr>
      <w:tr w14:paraId="369E9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exact"/>
          <w:jc w:val="center"/>
        </w:trPr>
        <w:tc>
          <w:tcPr>
            <w:tcW w:w="1209" w:type="dxa"/>
            <w:vMerge w:val="restart"/>
            <w:vAlign w:val="center"/>
          </w:tcPr>
          <w:p w14:paraId="6C059DCF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  <w:t>向  丹</w:t>
            </w:r>
          </w:p>
        </w:tc>
        <w:tc>
          <w:tcPr>
            <w:tcW w:w="1848" w:type="dxa"/>
            <w:vAlign w:val="center"/>
          </w:tcPr>
          <w:p w14:paraId="65662EAA">
            <w:pPr>
              <w:jc w:val="center"/>
              <w:rPr>
                <w:rFonts w:hint="eastAsia" w:ascii="宋体" w:hAnsi="宋体" w:eastAsia="宋体"/>
                <w:b w:val="0"/>
                <w:bCs/>
                <w:spacing w:val="-1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马克思主义学院</w:t>
            </w:r>
          </w:p>
        </w:tc>
        <w:tc>
          <w:tcPr>
            <w:tcW w:w="7803" w:type="dxa"/>
            <w:vAlign w:val="center"/>
          </w:tcPr>
          <w:p w14:paraId="3512CA39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  <w:t>四川革命老区发展研究中心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  <w:t>达州基层治理研究中心</w:t>
            </w:r>
          </w:p>
          <w:p w14:paraId="6B89CF4A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  <w:t>达州市万达开川渝统筹发展研究中心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  <w:t>巴渠共运学校红色教育研究基地</w:t>
            </w:r>
          </w:p>
          <w:p w14:paraId="09E15456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i/>
                <w:iCs/>
                <w:sz w:val="18"/>
                <w:szCs w:val="18"/>
                <w:highlight w:val="none"/>
              </w:rPr>
              <w:t>川陕革命老区振兴发展研究院</w:t>
            </w:r>
            <w:r>
              <w:rPr>
                <w:rFonts w:hint="eastAsia"/>
                <w:b/>
                <w:bCs/>
                <w:i/>
                <w:iCs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/>
                <w:b/>
                <w:bCs/>
                <w:i/>
                <w:iCs/>
                <w:sz w:val="18"/>
                <w:szCs w:val="18"/>
                <w:highlight w:val="none"/>
              </w:rPr>
              <w:t>川东北红色思政研究院</w:t>
            </w:r>
          </w:p>
        </w:tc>
      </w:tr>
      <w:tr w14:paraId="4205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exact"/>
          <w:jc w:val="center"/>
        </w:trPr>
        <w:tc>
          <w:tcPr>
            <w:tcW w:w="1209" w:type="dxa"/>
            <w:vMerge w:val="continue"/>
            <w:vAlign w:val="center"/>
          </w:tcPr>
          <w:p w14:paraId="704161A2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72F9912B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文学与传播学院</w:t>
            </w:r>
          </w:p>
        </w:tc>
        <w:tc>
          <w:tcPr>
            <w:tcW w:w="7803" w:type="dxa"/>
            <w:vAlign w:val="center"/>
          </w:tcPr>
          <w:p w14:paraId="39F15B89">
            <w:pPr>
              <w:jc w:val="center"/>
              <w:rPr>
                <w:rFonts w:hint="eastAsia" w:ascii="宋体" w:hAnsi="宋体" w:eastAsia="宋体"/>
                <w:b w:val="0"/>
                <w:bCs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color w:val="000000" w:themeColor="text1"/>
                <w:spacing w:val="0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巴山作家群研究院</w:t>
            </w:r>
          </w:p>
        </w:tc>
      </w:tr>
      <w:tr w14:paraId="337E9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  <w:jc w:val="center"/>
        </w:trPr>
        <w:tc>
          <w:tcPr>
            <w:tcW w:w="1209" w:type="dxa"/>
            <w:vMerge w:val="continue"/>
            <w:vAlign w:val="center"/>
          </w:tcPr>
          <w:p w14:paraId="3CE88FAD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5E78F283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财经管理学院</w:t>
            </w:r>
          </w:p>
        </w:tc>
        <w:tc>
          <w:tcPr>
            <w:tcW w:w="7803" w:type="dxa"/>
            <w:vAlign w:val="center"/>
          </w:tcPr>
          <w:p w14:paraId="1CC0473E">
            <w:pPr>
              <w:jc w:val="center"/>
              <w:rPr>
                <w:rFonts w:hint="eastAsia" w:ascii="宋体" w:hAnsi="宋体" w:eastAsia="宋体"/>
                <w:b w:val="0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达州市诚信文化教育研究中心</w:t>
            </w:r>
          </w:p>
        </w:tc>
      </w:tr>
      <w:tr w14:paraId="2FC6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exact"/>
          <w:jc w:val="center"/>
        </w:trPr>
        <w:tc>
          <w:tcPr>
            <w:tcW w:w="1209" w:type="dxa"/>
            <w:vMerge w:val="continue"/>
            <w:vAlign w:val="center"/>
          </w:tcPr>
          <w:p w14:paraId="71D60F9E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25A35EA5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体育学院</w:t>
            </w:r>
          </w:p>
        </w:tc>
        <w:tc>
          <w:tcPr>
            <w:tcW w:w="7803" w:type="dxa"/>
            <w:vAlign w:val="center"/>
          </w:tcPr>
          <w:p w14:paraId="16A8CFB8">
            <w:pPr>
              <w:jc w:val="center"/>
              <w:rPr>
                <w:rFonts w:hint="eastAsia" w:ascii="宋体" w:hAnsi="宋体" w:eastAsia="宋体"/>
                <w:b w:val="0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川东体育文化发展研究中心</w:t>
            </w:r>
          </w:p>
        </w:tc>
      </w:tr>
      <w:tr w14:paraId="23696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209" w:type="dxa"/>
            <w:vMerge w:val="restart"/>
            <w:vAlign w:val="center"/>
          </w:tcPr>
          <w:p w14:paraId="1C077BE9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  <w:t>邹林佚</w:t>
            </w:r>
          </w:p>
          <w:p w14:paraId="4CBDF260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  <w:p w14:paraId="79431CBE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6E912903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智能制造学院</w:t>
            </w:r>
          </w:p>
        </w:tc>
        <w:tc>
          <w:tcPr>
            <w:tcW w:w="7803" w:type="dxa"/>
            <w:vAlign w:val="center"/>
          </w:tcPr>
          <w:p w14:paraId="036E2772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智能光电感知系统及应用四川省教育厅高校重点实验室</w:t>
            </w:r>
          </w:p>
          <w:p w14:paraId="31DE8C71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达州市空地协同智慧农机集群中试研发平台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智能制造产业技术研究院</w:t>
            </w:r>
          </w:p>
          <w:p w14:paraId="526A7E58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量子材料与器件实验室</w:t>
            </w: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低空无人机智慧防控技术及应用实验室</w:t>
            </w:r>
          </w:p>
        </w:tc>
      </w:tr>
      <w:tr w14:paraId="0564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209" w:type="dxa"/>
            <w:vMerge w:val="continue"/>
            <w:vAlign w:val="center"/>
          </w:tcPr>
          <w:p w14:paraId="0D82A166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121C46EB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数学学院</w:t>
            </w:r>
          </w:p>
        </w:tc>
        <w:tc>
          <w:tcPr>
            <w:tcW w:w="7803" w:type="dxa"/>
            <w:vAlign w:val="center"/>
          </w:tcPr>
          <w:p w14:paraId="01170CEF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  <w:t>达州市数学与金融研究中心</w:t>
            </w:r>
          </w:p>
        </w:tc>
      </w:tr>
      <w:tr w14:paraId="3481D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09" w:type="dxa"/>
            <w:vMerge w:val="continue"/>
            <w:vAlign w:val="center"/>
          </w:tcPr>
          <w:p w14:paraId="21E3B5A0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5BE24D14">
            <w:pPr>
              <w:jc w:val="both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23"/>
                <w:kern w:val="0"/>
                <w:sz w:val="21"/>
                <w:szCs w:val="21"/>
              </w:rPr>
              <w:t>康养产业学院·医学院</w:t>
            </w:r>
          </w:p>
        </w:tc>
        <w:tc>
          <w:tcPr>
            <w:tcW w:w="7803" w:type="dxa"/>
            <w:vAlign w:val="center"/>
          </w:tcPr>
          <w:p w14:paraId="53543E72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  <w:t>智能医学与健康大数据重点实验室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  <w:t>达州市积极老龄化教育社科普及基地</w:t>
            </w:r>
          </w:p>
        </w:tc>
      </w:tr>
      <w:tr w14:paraId="6BC7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209" w:type="dxa"/>
            <w:vMerge w:val="continue"/>
            <w:vAlign w:val="center"/>
          </w:tcPr>
          <w:p w14:paraId="438D346B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2DF2CA00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教务处</w:t>
            </w:r>
          </w:p>
        </w:tc>
        <w:tc>
          <w:tcPr>
            <w:tcW w:w="7803" w:type="dxa"/>
            <w:vAlign w:val="center"/>
          </w:tcPr>
          <w:p w14:paraId="0F146081">
            <w:pPr>
              <w:jc w:val="center"/>
              <w:rPr>
                <w:rFonts w:hint="default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教师教学发展中心</w:t>
            </w:r>
          </w:p>
        </w:tc>
      </w:tr>
      <w:tr w14:paraId="0DE3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09" w:type="dxa"/>
            <w:vMerge w:val="restart"/>
            <w:vAlign w:val="center"/>
          </w:tcPr>
          <w:p w14:paraId="75F5DAF7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  <w:t>杜函晓</w:t>
            </w:r>
          </w:p>
        </w:tc>
        <w:tc>
          <w:tcPr>
            <w:tcW w:w="1848" w:type="dxa"/>
            <w:vAlign w:val="center"/>
          </w:tcPr>
          <w:p w14:paraId="6A3DAC8A">
            <w:pPr>
              <w:jc w:val="both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中华传统文化学院</w:t>
            </w:r>
          </w:p>
        </w:tc>
        <w:tc>
          <w:tcPr>
            <w:tcW w:w="7803" w:type="dxa"/>
            <w:vAlign w:val="center"/>
          </w:tcPr>
          <w:p w14:paraId="7FB9EC0E">
            <w:pPr>
              <w:jc w:val="center"/>
              <w:rPr>
                <w:rFonts w:hint="eastAsia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四川省铸牢中华民族共同体意识研究基地（巴文化研究院）</w:t>
            </w:r>
          </w:p>
          <w:p w14:paraId="32F322F3">
            <w:pPr>
              <w:jc w:val="center"/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</w:rPr>
            </w:pPr>
            <w:r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</w:rPr>
              <w:t>达州市川东非物质文化遗产保护与发展研究中心</w:t>
            </w:r>
            <w:r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</w:rPr>
              <w:t>达州市巴文化传承发展研究中心</w:t>
            </w:r>
          </w:p>
          <w:p w14:paraId="4A9FEC60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秦巴文化产业研究院</w:t>
            </w: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书法艺术研究院</w:t>
            </w:r>
          </w:p>
        </w:tc>
      </w:tr>
      <w:tr w14:paraId="6A85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209" w:type="dxa"/>
            <w:vMerge w:val="continue"/>
            <w:vAlign w:val="center"/>
          </w:tcPr>
          <w:p w14:paraId="61B14801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3F8AF72D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音乐与演艺学院</w:t>
            </w:r>
          </w:p>
        </w:tc>
        <w:tc>
          <w:tcPr>
            <w:tcW w:w="7803" w:type="dxa"/>
            <w:vAlign w:val="center"/>
          </w:tcPr>
          <w:p w14:paraId="0F69FF4D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  <w:t>巴渝民间艺术研究中心</w:t>
            </w:r>
          </w:p>
        </w:tc>
      </w:tr>
      <w:tr w14:paraId="4BF2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209" w:type="dxa"/>
            <w:vMerge w:val="continue"/>
            <w:vAlign w:val="center"/>
          </w:tcPr>
          <w:p w14:paraId="757C889C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7BE129EE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外国语学院</w:t>
            </w:r>
          </w:p>
        </w:tc>
        <w:tc>
          <w:tcPr>
            <w:tcW w:w="7803" w:type="dxa"/>
            <w:vAlign w:val="center"/>
          </w:tcPr>
          <w:p w14:paraId="1271A158">
            <w:pPr>
              <w:jc w:val="center"/>
              <w:rPr>
                <w:rFonts w:hint="default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5896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09" w:type="dxa"/>
            <w:vMerge w:val="restart"/>
            <w:vAlign w:val="center"/>
          </w:tcPr>
          <w:p w14:paraId="54053464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  <w:t>潘柄霖</w:t>
            </w:r>
          </w:p>
          <w:p w14:paraId="2D82DC96">
            <w:pPr>
              <w:jc w:val="center"/>
              <w:rPr>
                <w:rFonts w:hint="default" w:ascii="宋体" w:hAnsi="宋体" w:eastAsia="宋体"/>
                <w:b w:val="0"/>
                <w:bCs/>
                <w:sz w:val="21"/>
                <w:szCs w:val="21"/>
                <w:lang w:val="en-US"/>
              </w:rPr>
            </w:pPr>
          </w:p>
        </w:tc>
        <w:tc>
          <w:tcPr>
            <w:tcW w:w="1848" w:type="dxa"/>
            <w:vAlign w:val="center"/>
          </w:tcPr>
          <w:p w14:paraId="75E4E3E6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化学化工学院</w:t>
            </w:r>
          </w:p>
        </w:tc>
        <w:tc>
          <w:tcPr>
            <w:tcW w:w="7803" w:type="dxa"/>
            <w:vAlign w:val="center"/>
          </w:tcPr>
          <w:p w14:paraId="6A843624">
            <w:pPr>
              <w:jc w:val="center"/>
              <w:rPr>
                <w:rFonts w:hint="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乡村低成本环境治理技术四川省高校重点实验室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特色植物开发研究四川省高校重点实验室</w:t>
            </w:r>
          </w:p>
          <w:p w14:paraId="27B25B5D">
            <w:pPr>
              <w:jc w:val="center"/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  <w:lang w:eastAsia="zh-CN"/>
              </w:rPr>
              <w:t>四川省磷资源综合利用工程技术研究中心（共建）</w:t>
            </w:r>
            <w:r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default" w:asciiTheme="minorAscii" w:hAnsiTheme="minorAscii" w:eastAsiaTheme="minorEastAsia"/>
                <w:spacing w:val="-6"/>
                <w:sz w:val="18"/>
                <w:szCs w:val="18"/>
                <w:highlight w:val="none"/>
                <w:lang w:eastAsia="zh-CN"/>
              </w:rPr>
              <w:t>玄武岩纤维及复合材料四川省重点实验室（共建</w:t>
            </w:r>
            <w:r>
              <w:rPr>
                <w:rFonts w:hint="eastAsia" w:asciiTheme="minorAscii" w:hAnsiTheme="minorAscii"/>
                <w:b w:val="0"/>
                <w:bCs w:val="0"/>
                <w:spacing w:val="-6"/>
                <w:sz w:val="18"/>
                <w:szCs w:val="18"/>
                <w:highlight w:val="none"/>
                <w:lang w:val="en-US" w:eastAsia="zh-CN"/>
              </w:rPr>
              <w:t>)</w:t>
            </w:r>
          </w:p>
          <w:p w14:paraId="76CFF87F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23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/>
                <w:sz w:val="18"/>
                <w:szCs w:val="18"/>
                <w:highlight w:val="none"/>
                <w:lang w:eastAsia="zh-CN"/>
              </w:rPr>
              <w:t>能源化工数智化与低碳制造四川省教育厅高校重点实验室</w:t>
            </w:r>
            <w:r>
              <w:rPr>
                <w:rFonts w:hint="default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default"/>
                <w:sz w:val="18"/>
                <w:szCs w:val="18"/>
                <w:highlight w:val="none"/>
                <w:lang w:eastAsia="zh-CN"/>
              </w:rPr>
              <w:t>纤维材料复合技术达州市重点实验室</w:t>
            </w:r>
          </w:p>
        </w:tc>
      </w:tr>
      <w:tr w14:paraId="7768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09" w:type="dxa"/>
            <w:vMerge w:val="continue"/>
            <w:vAlign w:val="center"/>
          </w:tcPr>
          <w:p w14:paraId="4E74C5D3">
            <w:pPr>
              <w:jc w:val="center"/>
              <w:rPr>
                <w:rFonts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848" w:type="dxa"/>
            <w:vAlign w:val="center"/>
          </w:tcPr>
          <w:p w14:paraId="2B5E1E87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教师教育学院</w:t>
            </w:r>
          </w:p>
        </w:tc>
        <w:tc>
          <w:tcPr>
            <w:tcW w:w="7803" w:type="dxa"/>
            <w:vAlign w:val="center"/>
          </w:tcPr>
          <w:p w14:paraId="0D4F0E3B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</w:rPr>
              <w:t>四川义务教育高质量发展研究中心</w:t>
            </w:r>
          </w:p>
          <w:p w14:paraId="5F28A804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智慧教育研究中心</w:t>
            </w:r>
          </w:p>
        </w:tc>
      </w:tr>
      <w:tr w14:paraId="56798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209" w:type="dxa"/>
            <w:vMerge w:val="continue"/>
            <w:vAlign w:val="center"/>
          </w:tcPr>
          <w:p w14:paraId="2F3F0D20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246B405E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继续教育学院</w:t>
            </w:r>
          </w:p>
        </w:tc>
        <w:tc>
          <w:tcPr>
            <w:tcW w:w="7803" w:type="dxa"/>
            <w:vAlign w:val="center"/>
          </w:tcPr>
          <w:p w14:paraId="3FF4E339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0B003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09" w:type="dxa"/>
            <w:vMerge w:val="continue"/>
            <w:vAlign w:val="center"/>
          </w:tcPr>
          <w:p w14:paraId="0A446139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0F9ED60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  <w:highlight w:val="none"/>
              </w:rPr>
              <w:t>美术学院</w:t>
            </w:r>
          </w:p>
        </w:tc>
        <w:tc>
          <w:tcPr>
            <w:tcW w:w="7803" w:type="dxa"/>
            <w:shd w:val="clear" w:color="auto" w:fill="auto"/>
            <w:vAlign w:val="center"/>
          </w:tcPr>
          <w:p w14:paraId="1ADA14B9">
            <w:pPr>
              <w:jc w:val="center"/>
              <w:rPr>
                <w:rFonts w:hint="default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 w:bidi="ar-SA"/>
              </w:rPr>
              <w:t>/</w:t>
            </w:r>
          </w:p>
        </w:tc>
      </w:tr>
      <w:tr w14:paraId="057A0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209" w:type="dxa"/>
            <w:vMerge w:val="restart"/>
            <w:vAlign w:val="center"/>
          </w:tcPr>
          <w:p w14:paraId="0C7E8CFE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  <w:t>张  孔</w:t>
            </w:r>
          </w:p>
        </w:tc>
        <w:tc>
          <w:tcPr>
            <w:tcW w:w="1848" w:type="dxa"/>
            <w:vAlign w:val="center"/>
          </w:tcPr>
          <w:p w14:paraId="133E5C23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人工智能与</w:t>
            </w:r>
          </w:p>
          <w:p w14:paraId="393A9F82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大数据学院</w:t>
            </w:r>
          </w:p>
        </w:tc>
        <w:tc>
          <w:tcPr>
            <w:tcW w:w="7803" w:type="dxa"/>
            <w:vAlign w:val="center"/>
          </w:tcPr>
          <w:p w14:paraId="4ACB7D57"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智能医学与健康大数据四川省教育厅高校重点实验室/政务数据安全达州市重点实验室</w:t>
            </w:r>
          </w:p>
          <w:p w14:paraId="7279C930"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智能无人系统技术四川省教育厅高校重点实验室/警用智能机器人达州市重点实验室</w:t>
            </w:r>
          </w:p>
          <w:p w14:paraId="2A22EBCA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6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多维数据感知与智能信息处理达州市重点实验室</w:t>
            </w:r>
          </w:p>
        </w:tc>
      </w:tr>
      <w:tr w14:paraId="337A4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09" w:type="dxa"/>
            <w:vMerge w:val="continue"/>
            <w:vAlign w:val="center"/>
          </w:tcPr>
          <w:p w14:paraId="59523202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74BAF85A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政法学院</w:t>
            </w:r>
            <w:r>
              <w:rPr>
                <w:rFonts w:hint="eastAsia" w:ascii="宋体" w:hAnsi="宋体" w:eastAsia="宋体" w:cs="宋体"/>
                <w:b/>
                <w:bCs w:val="0"/>
                <w:spacing w:val="-11"/>
                <w:kern w:val="0"/>
                <w:sz w:val="21"/>
                <w:szCs w:val="21"/>
              </w:rPr>
              <w:t>·</w:t>
            </w:r>
          </w:p>
          <w:p w14:paraId="10839B04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知识产权学院</w:t>
            </w:r>
          </w:p>
        </w:tc>
        <w:tc>
          <w:tcPr>
            <w:tcW w:w="7803" w:type="dxa"/>
            <w:vAlign w:val="center"/>
          </w:tcPr>
          <w:p w14:paraId="62D7DB1E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达州市党风廉政研究中心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达州市党内法规研究中心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达州市人口与发展研究中心</w:t>
            </w:r>
          </w:p>
          <w:p w14:paraId="269D40B2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四川省全面依法治省理论研究基地（四川文理学院政法学院）</w:t>
            </w:r>
          </w:p>
          <w:p w14:paraId="15A26983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/>
                <w:iCs/>
                <w:spacing w:val="0"/>
                <w:kern w:val="0"/>
                <w:sz w:val="18"/>
                <w:szCs w:val="18"/>
                <w:highlight w:val="none"/>
                <w:lang w:eastAsia="zh-CN"/>
              </w:rPr>
              <w:t>国家战略腹地安全研究院</w:t>
            </w:r>
          </w:p>
        </w:tc>
      </w:tr>
      <w:tr w14:paraId="47858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09" w:type="dxa"/>
            <w:vMerge w:val="continue"/>
            <w:vAlign w:val="center"/>
          </w:tcPr>
          <w:p w14:paraId="2DE8190A"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48" w:type="dxa"/>
            <w:vAlign w:val="center"/>
          </w:tcPr>
          <w:p w14:paraId="02453211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建筑工程学院·</w:t>
            </w:r>
          </w:p>
          <w:p w14:paraId="583F853D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-11"/>
                <w:kern w:val="0"/>
                <w:sz w:val="21"/>
                <w:szCs w:val="21"/>
              </w:rPr>
              <w:t>生态旅游学院</w:t>
            </w:r>
          </w:p>
        </w:tc>
        <w:tc>
          <w:tcPr>
            <w:tcW w:w="7803" w:type="dxa"/>
            <w:vAlign w:val="center"/>
          </w:tcPr>
          <w:p w14:paraId="3F62ECCB">
            <w:pPr>
              <w:jc w:val="center"/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  <w:t>达州市建筑环境工程技术研究中心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spacing w:val="0"/>
                <w:kern w:val="0"/>
                <w:sz w:val="18"/>
                <w:szCs w:val="18"/>
                <w:lang w:eastAsia="zh-CN"/>
              </w:rPr>
              <w:t>大巴山农业资源开发与生态保护达州市重点实验室</w:t>
            </w:r>
          </w:p>
        </w:tc>
      </w:tr>
      <w:tr w14:paraId="2EDD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09" w:type="dxa"/>
            <w:vAlign w:val="center"/>
          </w:tcPr>
          <w:p w14:paraId="3DE9A2E5">
            <w:pPr>
              <w:jc w:val="center"/>
              <w:rPr>
                <w:rFonts w:hint="default" w:ascii="宋体" w:hAnsi="宋体" w:eastAsia="宋体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 w:val="0"/>
                <w:color w:val="FF0000"/>
                <w:sz w:val="24"/>
                <w:szCs w:val="24"/>
                <w:highlight w:val="none"/>
                <w:lang w:val="en-US" w:eastAsia="zh-CN"/>
              </w:rPr>
              <w:t>备  注</w:t>
            </w:r>
          </w:p>
        </w:tc>
        <w:tc>
          <w:tcPr>
            <w:tcW w:w="9651" w:type="dxa"/>
            <w:gridSpan w:val="2"/>
            <w:vAlign w:val="center"/>
          </w:tcPr>
          <w:p w14:paraId="4D3F91C6">
            <w:pPr>
              <w:jc w:val="left"/>
              <w:rPr>
                <w:rFonts w:hint="default" w:ascii="宋体" w:hAnsi="宋体" w:eastAsia="宋体" w:cs="宋体"/>
                <w:b w:val="0"/>
                <w:bCs/>
                <w:color w:val="FF0000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FF0000"/>
                <w:spacing w:val="0"/>
                <w:sz w:val="21"/>
                <w:szCs w:val="21"/>
                <w:lang w:val="en-US" w:eastAsia="zh-CN"/>
              </w:rPr>
              <w:t>立卷单位一览表中</w:t>
            </w:r>
            <w:r>
              <w:rPr>
                <w:rFonts w:hint="eastAsia" w:ascii="宋体" w:hAnsi="宋体" w:eastAsia="宋体"/>
                <w:b/>
                <w:bCs w:val="0"/>
                <w:color w:val="FF0000"/>
                <w:spacing w:val="0"/>
                <w:sz w:val="21"/>
                <w:szCs w:val="21"/>
                <w:lang w:val="en-US" w:eastAsia="zh-CN"/>
              </w:rPr>
              <w:t>二级学院及所支撑的科研平台</w:t>
            </w:r>
            <w:r>
              <w:rPr>
                <w:rFonts w:hint="eastAsia" w:ascii="宋体" w:hAnsi="宋体" w:eastAsia="宋体"/>
                <w:b w:val="0"/>
                <w:bCs/>
                <w:color w:val="FF0000"/>
                <w:spacing w:val="0"/>
                <w:sz w:val="21"/>
                <w:szCs w:val="21"/>
                <w:lang w:val="en-US" w:eastAsia="zh-CN"/>
              </w:rPr>
              <w:t>名称若有变更，请及时完成信息更新并一起及时归档。</w:t>
            </w:r>
          </w:p>
        </w:tc>
      </w:tr>
    </w:tbl>
    <w:p w14:paraId="6A3D4DA6">
      <w:pPr>
        <w:jc w:val="left"/>
        <w:rPr>
          <w:rFonts w:hint="default" w:ascii="宋体" w:hAnsi="宋体" w:eastAsia="宋体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B164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JiZjM4YTU1NWRlYWE0ODdhZWNhNDA4YjE3NGQyZDIifQ=="/>
  </w:docVars>
  <w:rsids>
    <w:rsidRoot w:val="00FF2BD1"/>
    <w:rsid w:val="00065738"/>
    <w:rsid w:val="0007248C"/>
    <w:rsid w:val="00075B09"/>
    <w:rsid w:val="000C3F5E"/>
    <w:rsid w:val="000D76C5"/>
    <w:rsid w:val="000F5334"/>
    <w:rsid w:val="001041E6"/>
    <w:rsid w:val="00104B55"/>
    <w:rsid w:val="00111CB8"/>
    <w:rsid w:val="0018073D"/>
    <w:rsid w:val="00181F26"/>
    <w:rsid w:val="001A45D2"/>
    <w:rsid w:val="001B69CF"/>
    <w:rsid w:val="001C5744"/>
    <w:rsid w:val="00206794"/>
    <w:rsid w:val="00225CF8"/>
    <w:rsid w:val="00256F75"/>
    <w:rsid w:val="00284C52"/>
    <w:rsid w:val="002B25AB"/>
    <w:rsid w:val="002C698E"/>
    <w:rsid w:val="00343317"/>
    <w:rsid w:val="00350641"/>
    <w:rsid w:val="00366845"/>
    <w:rsid w:val="00397A5F"/>
    <w:rsid w:val="003B4F6E"/>
    <w:rsid w:val="003C6306"/>
    <w:rsid w:val="003D3575"/>
    <w:rsid w:val="003E0625"/>
    <w:rsid w:val="003E4056"/>
    <w:rsid w:val="00406524"/>
    <w:rsid w:val="004236CB"/>
    <w:rsid w:val="00440946"/>
    <w:rsid w:val="0044561D"/>
    <w:rsid w:val="00471D1F"/>
    <w:rsid w:val="00474E77"/>
    <w:rsid w:val="00487776"/>
    <w:rsid w:val="004B7224"/>
    <w:rsid w:val="004D1F17"/>
    <w:rsid w:val="005118DF"/>
    <w:rsid w:val="0051282D"/>
    <w:rsid w:val="00515CA7"/>
    <w:rsid w:val="00531143"/>
    <w:rsid w:val="005E56A8"/>
    <w:rsid w:val="00696118"/>
    <w:rsid w:val="006B1BF3"/>
    <w:rsid w:val="00716ED8"/>
    <w:rsid w:val="0075453B"/>
    <w:rsid w:val="00756822"/>
    <w:rsid w:val="0077477C"/>
    <w:rsid w:val="007D53FA"/>
    <w:rsid w:val="00801164"/>
    <w:rsid w:val="008206D1"/>
    <w:rsid w:val="008255C6"/>
    <w:rsid w:val="0083053A"/>
    <w:rsid w:val="0083462F"/>
    <w:rsid w:val="008856EC"/>
    <w:rsid w:val="00893961"/>
    <w:rsid w:val="008C6652"/>
    <w:rsid w:val="008E2EE7"/>
    <w:rsid w:val="008E45DF"/>
    <w:rsid w:val="008F1B7A"/>
    <w:rsid w:val="008F7E76"/>
    <w:rsid w:val="00915781"/>
    <w:rsid w:val="00916935"/>
    <w:rsid w:val="0092792F"/>
    <w:rsid w:val="00972DF4"/>
    <w:rsid w:val="009F079E"/>
    <w:rsid w:val="00A0688A"/>
    <w:rsid w:val="00A11F09"/>
    <w:rsid w:val="00A337FD"/>
    <w:rsid w:val="00A833AF"/>
    <w:rsid w:val="00AA3820"/>
    <w:rsid w:val="00AC4442"/>
    <w:rsid w:val="00AC53F8"/>
    <w:rsid w:val="00AC584A"/>
    <w:rsid w:val="00AD4EBE"/>
    <w:rsid w:val="00B35A2B"/>
    <w:rsid w:val="00B464A7"/>
    <w:rsid w:val="00B5585F"/>
    <w:rsid w:val="00B676A3"/>
    <w:rsid w:val="00BD5404"/>
    <w:rsid w:val="00C32008"/>
    <w:rsid w:val="00C35049"/>
    <w:rsid w:val="00C7180D"/>
    <w:rsid w:val="00CB17FB"/>
    <w:rsid w:val="00D3710C"/>
    <w:rsid w:val="00D549B5"/>
    <w:rsid w:val="00D54F82"/>
    <w:rsid w:val="00D70EC6"/>
    <w:rsid w:val="00D815F0"/>
    <w:rsid w:val="00DA02B9"/>
    <w:rsid w:val="00E24D23"/>
    <w:rsid w:val="00E373B5"/>
    <w:rsid w:val="00E4224B"/>
    <w:rsid w:val="00E44076"/>
    <w:rsid w:val="00E62C3B"/>
    <w:rsid w:val="00E874D3"/>
    <w:rsid w:val="00EB3A57"/>
    <w:rsid w:val="00ED15B5"/>
    <w:rsid w:val="00F418DE"/>
    <w:rsid w:val="00F76A91"/>
    <w:rsid w:val="00F86D84"/>
    <w:rsid w:val="00FB0CA9"/>
    <w:rsid w:val="00FE159B"/>
    <w:rsid w:val="00FF2BD1"/>
    <w:rsid w:val="01B91D0C"/>
    <w:rsid w:val="03112756"/>
    <w:rsid w:val="0416522D"/>
    <w:rsid w:val="0B0D6D61"/>
    <w:rsid w:val="0D501777"/>
    <w:rsid w:val="0F5337A0"/>
    <w:rsid w:val="10D66437"/>
    <w:rsid w:val="129437D7"/>
    <w:rsid w:val="15EF35C9"/>
    <w:rsid w:val="20E97AC1"/>
    <w:rsid w:val="24E0742D"/>
    <w:rsid w:val="28A013AD"/>
    <w:rsid w:val="2918044D"/>
    <w:rsid w:val="2DA3549B"/>
    <w:rsid w:val="2DDE64D3"/>
    <w:rsid w:val="3D5E1B63"/>
    <w:rsid w:val="3E7A5DA4"/>
    <w:rsid w:val="440053D9"/>
    <w:rsid w:val="47283078"/>
    <w:rsid w:val="473413FC"/>
    <w:rsid w:val="4B547872"/>
    <w:rsid w:val="4BD73452"/>
    <w:rsid w:val="4D0E4287"/>
    <w:rsid w:val="4F45786D"/>
    <w:rsid w:val="4F6D1E76"/>
    <w:rsid w:val="4F8312EE"/>
    <w:rsid w:val="502A762A"/>
    <w:rsid w:val="5F8D04D8"/>
    <w:rsid w:val="624D5A57"/>
    <w:rsid w:val="651A5C45"/>
    <w:rsid w:val="65E248C3"/>
    <w:rsid w:val="66582F8A"/>
    <w:rsid w:val="67C5229D"/>
    <w:rsid w:val="68015531"/>
    <w:rsid w:val="6834172C"/>
    <w:rsid w:val="69076303"/>
    <w:rsid w:val="6AA92DF2"/>
    <w:rsid w:val="6BBB3A10"/>
    <w:rsid w:val="6DC63EEA"/>
    <w:rsid w:val="6F7264A0"/>
    <w:rsid w:val="6FB16FC8"/>
    <w:rsid w:val="7A03083A"/>
    <w:rsid w:val="7BC43969"/>
    <w:rsid w:val="7C5B3DB1"/>
    <w:rsid w:val="7D48257D"/>
    <w:rsid w:val="7DE71E07"/>
    <w:rsid w:val="7F9D5E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1D6F0-D396-4D48-96B1-76DE4E9418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670</Words>
  <Characters>673</Characters>
  <Lines>1</Lines>
  <Paragraphs>1</Paragraphs>
  <TotalTime>9</TotalTime>
  <ScaleCrop>false</ScaleCrop>
  <LinksUpToDate>false</LinksUpToDate>
  <CharactersWithSpaces>679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2018-09-10T09:12:00Z</dcterms:created>
  <dc:creator>admin</dc:creator>
  <cp:lastModifiedBy>ytmeihao</cp:lastModifiedBy>
  <cp:lastPrinted>2026-09-07T01:31:44Z</cp:lastPrinted>
  <dcterms:modified xsi:type="dcterms:W3CDTF">2026-09-07T02:04:20Z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C55BE15AAE0A414399B4287E120534FB</vt:lpwstr>
  </property>
  <property fmtid="{D5CDD505-2E9C-101B-9397-08002B2CF9AE}" pid="4" name="KSOTemplateDocerSaveRecord">
    <vt:lpwstr>eyJoZGlkIjoiNWJiZjM4YTU1NWRlYWE0ODdhZWNhNDA4YjE3NGQyZDIiLCJ1c2VySWQiOiIzMDA3ODI1NTUifQ==</vt:lpwstr>
  </property>
</Properties>
</file>